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18C7" w14:textId="77777777" w:rsidR="00235375" w:rsidRDefault="00235375" w:rsidP="00235375">
      <w:pPr>
        <w:widowControl w:val="0"/>
        <w:pBdr>
          <w:top w:val="nil"/>
          <w:left w:val="nil"/>
          <w:bottom w:val="nil"/>
          <w:right w:val="nil"/>
          <w:between w:val="nil"/>
        </w:pBdr>
        <w:spacing w:line="240" w:lineRule="auto"/>
        <w:ind w:right="1792"/>
        <w:jc w:val="right"/>
        <w:rPr>
          <w:rFonts w:ascii="Lucida Sans" w:eastAsia="Lucida Sans" w:hAnsi="Lucida Sans" w:cs="Lucida Sans"/>
          <w:color w:val="000000"/>
          <w:sz w:val="52"/>
          <w:szCs w:val="52"/>
        </w:rPr>
      </w:pPr>
      <w:r w:rsidRPr="002B4013">
        <w:rPr>
          <w:noProof/>
        </w:rPr>
        <w:drawing>
          <wp:anchor distT="0" distB="0" distL="114300" distR="114300" simplePos="0" relativeHeight="251659264" behindDoc="1" locked="0" layoutInCell="1" allowOverlap="1" wp14:anchorId="3CED3059" wp14:editId="72648BB6">
            <wp:simplePos x="0" y="0"/>
            <wp:positionH relativeFrom="column">
              <wp:posOffset>2240280</wp:posOffset>
            </wp:positionH>
            <wp:positionV relativeFrom="paragraph">
              <wp:posOffset>76200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Pr>
          <w:rFonts w:ascii="Lucida Sans" w:eastAsia="Lucida Sans" w:hAnsi="Lucida Sans" w:cs="Lucida Sans"/>
          <w:color w:val="000000"/>
          <w:sz w:val="52"/>
          <w:szCs w:val="52"/>
        </w:rPr>
        <w:t xml:space="preserve"> </w:t>
      </w:r>
    </w:p>
    <w:p w14:paraId="21A659A5" w14:textId="77777777" w:rsidR="00235375" w:rsidRDefault="00235375" w:rsidP="00235375">
      <w:pPr>
        <w:widowControl w:val="0"/>
        <w:pBdr>
          <w:top w:val="nil"/>
          <w:left w:val="nil"/>
          <w:bottom w:val="nil"/>
          <w:right w:val="nil"/>
          <w:between w:val="nil"/>
        </w:pBdr>
        <w:spacing w:line="240" w:lineRule="auto"/>
        <w:ind w:right="546"/>
        <w:jc w:val="center"/>
        <w:rPr>
          <w:rFonts w:ascii="Times New Roman" w:eastAsia="Times New Roman" w:hAnsi="Times New Roman" w:cs="Times New Roman"/>
          <w:b/>
          <w:bCs/>
          <w:color w:val="000000"/>
          <w:sz w:val="28"/>
          <w:szCs w:val="28"/>
        </w:rPr>
      </w:pPr>
    </w:p>
    <w:p w14:paraId="05C9D022" w14:textId="77777777" w:rsidR="00235375" w:rsidRDefault="00235375" w:rsidP="00235375">
      <w:pPr>
        <w:widowControl w:val="0"/>
        <w:pBdr>
          <w:top w:val="nil"/>
          <w:left w:val="nil"/>
          <w:bottom w:val="nil"/>
          <w:right w:val="nil"/>
          <w:between w:val="nil"/>
        </w:pBdr>
        <w:spacing w:line="240" w:lineRule="auto"/>
        <w:ind w:right="546"/>
        <w:jc w:val="center"/>
        <w:rPr>
          <w:rFonts w:ascii="Times New Roman" w:eastAsia="Times New Roman" w:hAnsi="Times New Roman" w:cs="Times New Roman"/>
          <w:b/>
          <w:bCs/>
          <w:color w:val="000000"/>
          <w:sz w:val="28"/>
          <w:szCs w:val="28"/>
        </w:rPr>
      </w:pPr>
    </w:p>
    <w:p w14:paraId="2A425CE1" w14:textId="77777777" w:rsidR="00235375" w:rsidRDefault="00235375" w:rsidP="00235375">
      <w:pPr>
        <w:pStyle w:val="Default"/>
        <w:jc w:val="center"/>
        <w:rPr>
          <w:rFonts w:ascii="Calibri" w:hAnsi="Calibri"/>
          <w:b/>
          <w:color w:val="002060"/>
          <w:sz w:val="40"/>
          <w:szCs w:val="40"/>
        </w:rPr>
      </w:pPr>
    </w:p>
    <w:p w14:paraId="30BFF4CC" w14:textId="77777777" w:rsidR="00235375" w:rsidRDefault="00235375" w:rsidP="00235375">
      <w:pPr>
        <w:pStyle w:val="Default"/>
        <w:rPr>
          <w:rFonts w:ascii="Calibri" w:hAnsi="Calibri"/>
          <w:b/>
          <w:color w:val="002060"/>
          <w:sz w:val="40"/>
          <w:szCs w:val="40"/>
        </w:rPr>
      </w:pPr>
    </w:p>
    <w:p w14:paraId="74BF59F0" w14:textId="7E01430E" w:rsidR="00235375" w:rsidRPr="00235375" w:rsidRDefault="00235375" w:rsidP="00235375">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6BEA50F5" w14:textId="77777777" w:rsidR="00235375" w:rsidRDefault="00235375" w:rsidP="00235375">
      <w:pPr>
        <w:jc w:val="center"/>
        <w:rPr>
          <w:rFonts w:ascii="Calibri" w:hAnsi="Calibri" w:cs="Calibri"/>
          <w:i/>
          <w:iCs/>
        </w:rPr>
      </w:pPr>
      <w:r w:rsidRPr="591D9B96">
        <w:rPr>
          <w:rFonts w:ascii="Calibri" w:hAnsi="Calibri" w:cs="Calibri"/>
          <w:i/>
          <w:iCs/>
        </w:rPr>
        <w:t>Egham Park School is committed to safeguarding the welfare of all children and young people and expects all staff and volunteers to share this commitment.</w:t>
      </w:r>
    </w:p>
    <w:p w14:paraId="2D51C169" w14:textId="77777777" w:rsidR="00235375" w:rsidRDefault="00235375" w:rsidP="00235375">
      <w:pPr>
        <w:jc w:val="center"/>
        <w:rPr>
          <w:rFonts w:ascii="Calibri" w:hAnsi="Calibri" w:cs="Calibri"/>
          <w:i/>
          <w:iCs/>
        </w:rPr>
      </w:pPr>
    </w:p>
    <w:p w14:paraId="2072A3BD" w14:textId="39781ACF" w:rsidR="00235375" w:rsidRDefault="00235375" w:rsidP="00235375">
      <w:pPr>
        <w:jc w:val="center"/>
        <w:rPr>
          <w:b/>
          <w:bCs/>
          <w:sz w:val="32"/>
          <w:szCs w:val="32"/>
          <w:u w:val="single"/>
        </w:rPr>
      </w:pPr>
      <w:r w:rsidRPr="00235375">
        <w:rPr>
          <w:b/>
          <w:bCs/>
          <w:sz w:val="32"/>
          <w:szCs w:val="32"/>
          <w:u w:val="single"/>
        </w:rPr>
        <w:t>Careers Education, Information, Advice and Guidance (CEIAG) Policy</w:t>
      </w:r>
    </w:p>
    <w:p w14:paraId="1FE21BEE" w14:textId="77777777" w:rsidR="00235375" w:rsidRPr="00235375" w:rsidRDefault="00235375" w:rsidP="00235375">
      <w:pPr>
        <w:jc w:val="center"/>
        <w:rPr>
          <w:b/>
          <w:bCs/>
          <w:sz w:val="32"/>
          <w:szCs w:val="32"/>
          <w:u w:val="single"/>
        </w:rPr>
      </w:pPr>
    </w:p>
    <w:tbl>
      <w:tblPr>
        <w:tblStyle w:val="TableGrid"/>
        <w:tblW w:w="9639" w:type="dxa"/>
        <w:tblInd w:w="279" w:type="dxa"/>
        <w:tblLook w:val="04A0" w:firstRow="1" w:lastRow="0" w:firstColumn="1" w:lastColumn="0" w:noHBand="0" w:noVBand="1"/>
      </w:tblPr>
      <w:tblGrid>
        <w:gridCol w:w="1701"/>
        <w:gridCol w:w="2268"/>
        <w:gridCol w:w="1920"/>
        <w:gridCol w:w="1529"/>
        <w:gridCol w:w="2221"/>
      </w:tblGrid>
      <w:tr w:rsidR="00235375" w:rsidRPr="00F30594" w14:paraId="159EEA02" w14:textId="77777777" w:rsidTr="00DD47AB">
        <w:tc>
          <w:tcPr>
            <w:tcW w:w="1701" w:type="dxa"/>
            <w:shd w:val="clear" w:color="auto" w:fill="D9D9D9" w:themeFill="background1" w:themeFillShade="D9"/>
          </w:tcPr>
          <w:p w14:paraId="69005F27" w14:textId="77777777" w:rsidR="00235375" w:rsidRPr="00F30594" w:rsidRDefault="00235375" w:rsidP="00DD47AB">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E4F3EAC" w14:textId="77777777" w:rsidR="00235375" w:rsidRPr="00F30594" w:rsidRDefault="00235375" w:rsidP="00DD47AB">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20" w:type="dxa"/>
            <w:shd w:val="clear" w:color="auto" w:fill="D9D9D9" w:themeFill="background1" w:themeFillShade="D9"/>
          </w:tcPr>
          <w:p w14:paraId="51242EB7" w14:textId="77777777" w:rsidR="00235375" w:rsidRPr="00F30594" w:rsidRDefault="00235375" w:rsidP="00DD47AB">
            <w:pPr>
              <w:jc w:val="center"/>
              <w:rPr>
                <w:rFonts w:ascii="Calibri" w:hAnsi="Calibri" w:cs="Calibri"/>
              </w:rPr>
            </w:pPr>
            <w:r w:rsidRPr="00F30594">
              <w:rPr>
                <w:rFonts w:ascii="Calibri" w:hAnsi="Calibri" w:cs="Calibri"/>
              </w:rPr>
              <w:t>Date Reviewed</w:t>
            </w:r>
          </w:p>
        </w:tc>
        <w:tc>
          <w:tcPr>
            <w:tcW w:w="1529" w:type="dxa"/>
            <w:shd w:val="clear" w:color="auto" w:fill="D9D9D9" w:themeFill="background1" w:themeFillShade="D9"/>
          </w:tcPr>
          <w:p w14:paraId="74210156" w14:textId="77777777" w:rsidR="00235375" w:rsidRPr="00F30594" w:rsidRDefault="00235375" w:rsidP="00DD47AB">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313D3ECC" w14:textId="77777777" w:rsidR="00235375" w:rsidRPr="00F30594" w:rsidRDefault="00235375" w:rsidP="00DD47AB">
            <w:pPr>
              <w:jc w:val="center"/>
              <w:rPr>
                <w:rFonts w:ascii="Calibri" w:hAnsi="Calibri" w:cs="Calibri"/>
              </w:rPr>
            </w:pPr>
            <w:r w:rsidRPr="00F30594">
              <w:rPr>
                <w:rFonts w:ascii="Calibri" w:hAnsi="Calibri" w:cs="Calibri"/>
              </w:rPr>
              <w:t>Next Review Due</w:t>
            </w:r>
          </w:p>
        </w:tc>
      </w:tr>
      <w:tr w:rsidR="00235375" w:rsidRPr="00F30594" w14:paraId="4D95889A" w14:textId="77777777" w:rsidTr="00DD47AB">
        <w:tc>
          <w:tcPr>
            <w:tcW w:w="1701" w:type="dxa"/>
          </w:tcPr>
          <w:p w14:paraId="0C8416A9" w14:textId="77777777" w:rsidR="00235375" w:rsidRPr="00F30594" w:rsidRDefault="00235375" w:rsidP="00DD47AB">
            <w:pPr>
              <w:jc w:val="center"/>
              <w:rPr>
                <w:rFonts w:ascii="Calibri" w:hAnsi="Calibri" w:cs="Calibri"/>
              </w:rPr>
            </w:pPr>
            <w:r>
              <w:rPr>
                <w:rFonts w:ascii="Calibri" w:hAnsi="Calibri" w:cs="Calibri"/>
              </w:rPr>
              <w:t>May 2026</w:t>
            </w:r>
          </w:p>
        </w:tc>
        <w:tc>
          <w:tcPr>
            <w:tcW w:w="2268" w:type="dxa"/>
          </w:tcPr>
          <w:p w14:paraId="42661342" w14:textId="77777777" w:rsidR="00235375" w:rsidRPr="00F30594" w:rsidRDefault="00235375" w:rsidP="00DD47AB">
            <w:pPr>
              <w:jc w:val="center"/>
              <w:rPr>
                <w:rFonts w:ascii="Calibri" w:hAnsi="Calibri" w:cs="Calibri"/>
              </w:rPr>
            </w:pPr>
            <w:r>
              <w:rPr>
                <w:rFonts w:ascii="Calibri" w:hAnsi="Calibri" w:cs="Calibri"/>
              </w:rPr>
              <w:t>May 2027</w:t>
            </w:r>
          </w:p>
        </w:tc>
        <w:tc>
          <w:tcPr>
            <w:tcW w:w="1920" w:type="dxa"/>
          </w:tcPr>
          <w:p w14:paraId="60FD97DA" w14:textId="77777777" w:rsidR="00235375" w:rsidRPr="00ED73B8" w:rsidRDefault="00235375" w:rsidP="00DD47AB">
            <w:pPr>
              <w:jc w:val="center"/>
              <w:rPr>
                <w:rFonts w:ascii="Calibri" w:hAnsi="Calibri" w:cs="Calibri"/>
                <w:color w:val="FF0000"/>
              </w:rPr>
            </w:pPr>
          </w:p>
        </w:tc>
        <w:tc>
          <w:tcPr>
            <w:tcW w:w="1529" w:type="dxa"/>
          </w:tcPr>
          <w:p w14:paraId="7BB76DF8" w14:textId="77777777" w:rsidR="00235375" w:rsidRPr="00ED73B8" w:rsidRDefault="00235375" w:rsidP="00DD47AB">
            <w:pPr>
              <w:jc w:val="center"/>
              <w:rPr>
                <w:rFonts w:ascii="Calibri" w:hAnsi="Calibri" w:cs="Calibri"/>
                <w:color w:val="FF0000"/>
              </w:rPr>
            </w:pPr>
            <w:r w:rsidRPr="00EF1656">
              <w:rPr>
                <w:rFonts w:ascii="Calibri" w:hAnsi="Calibri" w:cs="Calibri"/>
              </w:rPr>
              <w:t>1</w:t>
            </w:r>
          </w:p>
        </w:tc>
        <w:tc>
          <w:tcPr>
            <w:tcW w:w="2221" w:type="dxa"/>
          </w:tcPr>
          <w:p w14:paraId="4702B2E3" w14:textId="77777777" w:rsidR="00235375" w:rsidRPr="00ED73B8" w:rsidRDefault="00235375" w:rsidP="00DD47AB">
            <w:pPr>
              <w:jc w:val="center"/>
              <w:rPr>
                <w:rFonts w:ascii="Calibri" w:hAnsi="Calibri" w:cs="Calibri"/>
                <w:color w:val="FF0000"/>
              </w:rPr>
            </w:pPr>
          </w:p>
        </w:tc>
      </w:tr>
      <w:tr w:rsidR="00235375" w:rsidRPr="00F30594" w14:paraId="265208AF" w14:textId="77777777" w:rsidTr="00DD47AB">
        <w:tc>
          <w:tcPr>
            <w:tcW w:w="1701" w:type="dxa"/>
          </w:tcPr>
          <w:p w14:paraId="7CA6697D" w14:textId="77777777" w:rsidR="00235375" w:rsidRPr="22F2FEF7" w:rsidRDefault="00235375" w:rsidP="00DD47AB">
            <w:pPr>
              <w:jc w:val="center"/>
              <w:rPr>
                <w:rFonts w:ascii="Calibri" w:hAnsi="Calibri" w:cs="Calibri"/>
              </w:rPr>
            </w:pPr>
          </w:p>
        </w:tc>
        <w:tc>
          <w:tcPr>
            <w:tcW w:w="2268" w:type="dxa"/>
          </w:tcPr>
          <w:p w14:paraId="1729CFAE" w14:textId="77777777" w:rsidR="00235375" w:rsidRPr="591D9B96" w:rsidRDefault="00235375" w:rsidP="00DD47AB">
            <w:pPr>
              <w:jc w:val="center"/>
              <w:rPr>
                <w:rFonts w:ascii="Calibri" w:hAnsi="Calibri" w:cs="Calibri"/>
              </w:rPr>
            </w:pPr>
          </w:p>
        </w:tc>
        <w:tc>
          <w:tcPr>
            <w:tcW w:w="1920" w:type="dxa"/>
          </w:tcPr>
          <w:p w14:paraId="3A111603" w14:textId="77777777" w:rsidR="00235375" w:rsidRPr="00ED73B8" w:rsidRDefault="00235375" w:rsidP="00DD47AB">
            <w:pPr>
              <w:jc w:val="center"/>
              <w:rPr>
                <w:rFonts w:ascii="Calibri" w:hAnsi="Calibri" w:cs="Calibri"/>
                <w:color w:val="FF0000"/>
              </w:rPr>
            </w:pPr>
          </w:p>
        </w:tc>
        <w:tc>
          <w:tcPr>
            <w:tcW w:w="1529" w:type="dxa"/>
          </w:tcPr>
          <w:p w14:paraId="3C8635BA" w14:textId="77777777" w:rsidR="00235375" w:rsidRPr="00ED73B8" w:rsidRDefault="00235375" w:rsidP="00DD47AB">
            <w:pPr>
              <w:jc w:val="center"/>
              <w:rPr>
                <w:rFonts w:ascii="Calibri" w:hAnsi="Calibri" w:cs="Calibri"/>
                <w:color w:val="FF0000"/>
              </w:rPr>
            </w:pPr>
          </w:p>
        </w:tc>
        <w:tc>
          <w:tcPr>
            <w:tcW w:w="2221" w:type="dxa"/>
          </w:tcPr>
          <w:p w14:paraId="03C7E2BC" w14:textId="77777777" w:rsidR="00235375" w:rsidRPr="0074007B" w:rsidRDefault="00235375" w:rsidP="00DD47AB">
            <w:pPr>
              <w:jc w:val="center"/>
              <w:rPr>
                <w:rFonts w:ascii="Calibri" w:hAnsi="Calibri" w:cs="Calibri"/>
                <w:color w:val="000000" w:themeColor="text1"/>
              </w:rPr>
            </w:pPr>
          </w:p>
        </w:tc>
      </w:tr>
      <w:tr w:rsidR="00235375" w14:paraId="3DC4AB52" w14:textId="77777777" w:rsidTr="00DD47AB">
        <w:trPr>
          <w:trHeight w:val="300"/>
        </w:trPr>
        <w:tc>
          <w:tcPr>
            <w:tcW w:w="1701" w:type="dxa"/>
          </w:tcPr>
          <w:p w14:paraId="3423F8DE" w14:textId="77777777" w:rsidR="00235375" w:rsidRDefault="00235375" w:rsidP="00DD47AB">
            <w:pPr>
              <w:jc w:val="center"/>
              <w:rPr>
                <w:rFonts w:ascii="Calibri" w:hAnsi="Calibri" w:cs="Calibri"/>
              </w:rPr>
            </w:pPr>
          </w:p>
        </w:tc>
        <w:tc>
          <w:tcPr>
            <w:tcW w:w="2268" w:type="dxa"/>
          </w:tcPr>
          <w:p w14:paraId="630F2793" w14:textId="77777777" w:rsidR="00235375" w:rsidRDefault="00235375" w:rsidP="00DD47AB">
            <w:pPr>
              <w:jc w:val="center"/>
              <w:rPr>
                <w:rFonts w:ascii="Calibri" w:hAnsi="Calibri" w:cs="Calibri"/>
              </w:rPr>
            </w:pPr>
          </w:p>
        </w:tc>
        <w:tc>
          <w:tcPr>
            <w:tcW w:w="1920" w:type="dxa"/>
          </w:tcPr>
          <w:p w14:paraId="576E24D1" w14:textId="77777777" w:rsidR="00235375" w:rsidRDefault="00235375" w:rsidP="00DD47AB">
            <w:pPr>
              <w:jc w:val="center"/>
              <w:rPr>
                <w:rFonts w:ascii="Calibri" w:hAnsi="Calibri" w:cs="Calibri"/>
                <w:color w:val="000000" w:themeColor="text1"/>
              </w:rPr>
            </w:pPr>
          </w:p>
        </w:tc>
        <w:tc>
          <w:tcPr>
            <w:tcW w:w="1529" w:type="dxa"/>
          </w:tcPr>
          <w:p w14:paraId="37874DC7" w14:textId="77777777" w:rsidR="00235375" w:rsidRDefault="00235375" w:rsidP="00DD47AB">
            <w:pPr>
              <w:jc w:val="center"/>
              <w:rPr>
                <w:rFonts w:ascii="Calibri" w:hAnsi="Calibri" w:cs="Calibri"/>
                <w:color w:val="000000" w:themeColor="text1"/>
              </w:rPr>
            </w:pPr>
          </w:p>
        </w:tc>
        <w:tc>
          <w:tcPr>
            <w:tcW w:w="2221" w:type="dxa"/>
          </w:tcPr>
          <w:p w14:paraId="5CBF9BB1" w14:textId="77777777" w:rsidR="00235375" w:rsidRDefault="00235375" w:rsidP="00DD47AB">
            <w:pPr>
              <w:jc w:val="center"/>
              <w:rPr>
                <w:rFonts w:ascii="Calibri" w:hAnsi="Calibri" w:cs="Calibri"/>
                <w:color w:val="000000" w:themeColor="text1"/>
              </w:rPr>
            </w:pPr>
          </w:p>
        </w:tc>
      </w:tr>
    </w:tbl>
    <w:p w14:paraId="5EAFB0F3" w14:textId="77777777" w:rsidR="00DD3EF3" w:rsidRDefault="00DD3EF3" w:rsidP="00DD3EF3">
      <w:pPr>
        <w:rPr>
          <w:b/>
          <w:bCs/>
          <w:u w:val="single"/>
        </w:rPr>
      </w:pPr>
    </w:p>
    <w:p w14:paraId="096D6E3B" w14:textId="7F1D4BAC" w:rsidR="00DD3EF3" w:rsidRPr="00DD3EF3" w:rsidRDefault="00DD3EF3" w:rsidP="00DD3EF3">
      <w:pPr>
        <w:rPr>
          <w:b/>
          <w:bCs/>
          <w:u w:val="single"/>
        </w:rPr>
      </w:pPr>
      <w:r w:rsidRPr="00DD3EF3">
        <w:rPr>
          <w:b/>
          <w:bCs/>
          <w:u w:val="single"/>
        </w:rPr>
        <w:t xml:space="preserve">Rationale </w:t>
      </w:r>
    </w:p>
    <w:p w14:paraId="39517DC8" w14:textId="51135043" w:rsidR="00DD3EF3" w:rsidRDefault="00DD3EF3" w:rsidP="00A36474">
      <w:r>
        <w:t>Careers education and guidance programmes are vital for supporting young people in developing responsibilities and preparing them for a wide range of opportunities and experiences in their future. At Egham Park School, we are committed to providing our pupils with an appropriate careers education, information, advice and guidance (IAG). We have a coherent and progressive careers programme that supports pupils through years 7 – 11 and into post-16</w:t>
      </w:r>
      <w:r w:rsidR="00A36474">
        <w:t xml:space="preserve"> and endeavours to follow the National Careers Strategy and other relevant guidance.</w:t>
      </w:r>
    </w:p>
    <w:p w14:paraId="61B0EEA8" w14:textId="77777777" w:rsidR="00DD3EF3" w:rsidRDefault="00DD3EF3" w:rsidP="00DD3EF3">
      <w:pPr>
        <w:rPr>
          <w:b/>
          <w:bCs/>
          <w:u w:val="single"/>
        </w:rPr>
      </w:pPr>
    </w:p>
    <w:p w14:paraId="6EBDEFC2" w14:textId="50BA5219" w:rsidR="00A36474" w:rsidRDefault="00A36474" w:rsidP="00DD3EF3">
      <w:pPr>
        <w:rPr>
          <w:b/>
          <w:bCs/>
          <w:u w:val="single"/>
        </w:rPr>
      </w:pPr>
      <w:r>
        <w:rPr>
          <w:b/>
          <w:bCs/>
          <w:u w:val="single"/>
        </w:rPr>
        <w:t xml:space="preserve">Objectives </w:t>
      </w:r>
    </w:p>
    <w:p w14:paraId="0569BCAC" w14:textId="3AEB40AE" w:rsidR="00DD3EF3" w:rsidRDefault="00DD3EF3" w:rsidP="00DD3EF3">
      <w:r>
        <w:t>Egham Park School’s Careers Education and Guidance policy has the following objectives in line with the Gatsby Eight Benchmarks for Careers Excellence when delivering the careers</w:t>
      </w:r>
      <w:r w:rsidR="00A36474">
        <w:t xml:space="preserve"> </w:t>
      </w:r>
      <w:r>
        <w:t>programme in school:</w:t>
      </w:r>
    </w:p>
    <w:p w14:paraId="4477B507" w14:textId="7399B3A8" w:rsidR="00DD3EF3" w:rsidRDefault="00DD3EF3" w:rsidP="00DD3EF3">
      <w:pPr>
        <w:pStyle w:val="ListParagraph"/>
        <w:numPr>
          <w:ilvl w:val="0"/>
          <w:numId w:val="2"/>
        </w:numPr>
      </w:pPr>
      <w:r>
        <w:t>To plan and provide a stable careers programme for our pupils</w:t>
      </w:r>
    </w:p>
    <w:p w14:paraId="3F689D44" w14:textId="34323DEF" w:rsidR="00DD3EF3" w:rsidRDefault="00DD3EF3" w:rsidP="00DD3EF3">
      <w:pPr>
        <w:pStyle w:val="ListParagraph"/>
        <w:numPr>
          <w:ilvl w:val="0"/>
          <w:numId w:val="2"/>
        </w:numPr>
      </w:pPr>
      <w:r>
        <w:t xml:space="preserve">To expose pupils to relevant labour market information </w:t>
      </w:r>
    </w:p>
    <w:p w14:paraId="2B661DBC" w14:textId="2E0BDA31" w:rsidR="00DD3EF3" w:rsidRDefault="00DD3EF3" w:rsidP="00DD3EF3">
      <w:pPr>
        <w:pStyle w:val="ListParagraph"/>
        <w:numPr>
          <w:ilvl w:val="0"/>
          <w:numId w:val="2"/>
        </w:numPr>
      </w:pPr>
      <w:r>
        <w:t>To address the needs of all pupils</w:t>
      </w:r>
    </w:p>
    <w:p w14:paraId="078F7B95" w14:textId="40E83572" w:rsidR="00DD3EF3" w:rsidRDefault="00DD3EF3" w:rsidP="00DD3EF3">
      <w:pPr>
        <w:pStyle w:val="ListParagraph"/>
        <w:numPr>
          <w:ilvl w:val="0"/>
          <w:numId w:val="2"/>
        </w:numPr>
      </w:pPr>
      <w:r>
        <w:lastRenderedPageBreak/>
        <w:t>To link curriculum learning to careers</w:t>
      </w:r>
    </w:p>
    <w:p w14:paraId="2684C525" w14:textId="0B5DA87D" w:rsidR="00DD3EF3" w:rsidRDefault="00DD3EF3" w:rsidP="00DD3EF3">
      <w:pPr>
        <w:pStyle w:val="ListParagraph"/>
        <w:numPr>
          <w:ilvl w:val="0"/>
          <w:numId w:val="2"/>
        </w:numPr>
      </w:pPr>
      <w:r>
        <w:t>To provide opportunities for pupils to encounter employers and employees</w:t>
      </w:r>
    </w:p>
    <w:p w14:paraId="4E8BD0E4" w14:textId="7720DFF3" w:rsidR="00DD3EF3" w:rsidRDefault="00DD3EF3" w:rsidP="00DD3EF3">
      <w:pPr>
        <w:pStyle w:val="ListParagraph"/>
        <w:numPr>
          <w:ilvl w:val="0"/>
          <w:numId w:val="2"/>
        </w:numPr>
      </w:pPr>
      <w:r>
        <w:t>To support pupils in obtaining work experience placements when they are ready</w:t>
      </w:r>
    </w:p>
    <w:p w14:paraId="64D99A5C" w14:textId="40D539C2" w:rsidR="00DD3EF3" w:rsidRDefault="00DD3EF3" w:rsidP="00DD3EF3">
      <w:pPr>
        <w:pStyle w:val="ListParagraph"/>
        <w:numPr>
          <w:ilvl w:val="0"/>
          <w:numId w:val="2"/>
        </w:numPr>
      </w:pPr>
      <w:r>
        <w:t>To provide opportunities for students to encounter further and higher education</w:t>
      </w:r>
    </w:p>
    <w:p w14:paraId="0B03ABF8" w14:textId="77777777" w:rsidR="00DD3EF3" w:rsidRDefault="00DD3EF3" w:rsidP="00DD3EF3">
      <w:pPr>
        <w:pStyle w:val="ListParagraph"/>
        <w:numPr>
          <w:ilvl w:val="0"/>
          <w:numId w:val="2"/>
        </w:numPr>
      </w:pPr>
      <w:r>
        <w:t>To provide personal guidance to students on careers education</w:t>
      </w:r>
    </w:p>
    <w:p w14:paraId="6323F381" w14:textId="77777777" w:rsidR="00A36474" w:rsidRDefault="00A36474" w:rsidP="00A36474">
      <w:pPr>
        <w:pStyle w:val="ListParagraph"/>
      </w:pPr>
    </w:p>
    <w:p w14:paraId="3A402B9B" w14:textId="68996FFB" w:rsidR="00DD3EF3" w:rsidRDefault="00A36474" w:rsidP="00DD3EF3">
      <w:pPr>
        <w:rPr>
          <w:b/>
          <w:bCs/>
          <w:u w:val="single"/>
        </w:rPr>
      </w:pPr>
      <w:r>
        <w:rPr>
          <w:b/>
          <w:bCs/>
          <w:u w:val="single"/>
        </w:rPr>
        <w:t>Outcomes</w:t>
      </w:r>
    </w:p>
    <w:p w14:paraId="06CD2D53" w14:textId="4DFD5F87" w:rsidR="00A36474" w:rsidRPr="00A36474" w:rsidRDefault="00A36474" w:rsidP="00A36474">
      <w:r w:rsidRPr="00A36474">
        <w:t>As a result of the above objectives</w:t>
      </w:r>
      <w:r w:rsidR="00874ECB">
        <w:t>,</w:t>
      </w:r>
      <w:r w:rsidRPr="00A36474">
        <w:t xml:space="preserve"> the proposed outcomes of </w:t>
      </w:r>
      <w:r w:rsidR="00874ECB">
        <w:t xml:space="preserve">Egham Park School’s </w:t>
      </w:r>
      <w:r w:rsidRPr="00A36474">
        <w:t>Careers Education and Guidance policy are:</w:t>
      </w:r>
    </w:p>
    <w:p w14:paraId="4D38FC84" w14:textId="77777777" w:rsidR="00A36474" w:rsidRPr="00A36474" w:rsidRDefault="00A36474" w:rsidP="00A36474">
      <w:r w:rsidRPr="00A36474">
        <w:t>• To contribute to strategies for raising achievement, especially by increasing motivation to</w:t>
      </w:r>
    </w:p>
    <w:p w14:paraId="1E3C2328" w14:textId="77777777" w:rsidR="00A36474" w:rsidRPr="00A36474" w:rsidRDefault="00A36474" w:rsidP="00A36474">
      <w:r w:rsidRPr="00A36474">
        <w:t>support inclusion, challenge stereotyping and promote equality of opportunity</w:t>
      </w:r>
    </w:p>
    <w:p w14:paraId="7749A3C9" w14:textId="4FA49EBE" w:rsidR="00A36474" w:rsidRPr="00A36474" w:rsidRDefault="00A36474" w:rsidP="00A36474">
      <w:r w:rsidRPr="00A36474">
        <w:t>• To encourage participation in continued learning including further education and technical qualifications</w:t>
      </w:r>
    </w:p>
    <w:p w14:paraId="5F1D3BC5" w14:textId="796ABAA8" w:rsidR="00A36474" w:rsidRPr="00A36474" w:rsidRDefault="00A36474" w:rsidP="00A36474">
      <w:r w:rsidRPr="00A36474">
        <w:t xml:space="preserve">• To develop enterprising and employability skills in students </w:t>
      </w:r>
    </w:p>
    <w:p w14:paraId="0EFA10F8" w14:textId="0997C8EC" w:rsidR="00A36474" w:rsidRPr="00A36474" w:rsidRDefault="00A36474" w:rsidP="00A36474">
      <w:r w:rsidRPr="00A36474">
        <w:t>• To significantly reduce to likelihood of any students leaving our educational establishment as NEET (not in education, employment or training)</w:t>
      </w:r>
    </w:p>
    <w:p w14:paraId="36D367AD" w14:textId="21A64E10" w:rsidR="00A36474" w:rsidRPr="00874ECB" w:rsidRDefault="00A36474" w:rsidP="00A36474">
      <w:r w:rsidRPr="00874ECB">
        <w:t xml:space="preserve">• To involve all school stakeholders in the careers education of </w:t>
      </w:r>
      <w:r w:rsidR="00874ECB" w:rsidRPr="00874ECB">
        <w:t>pupils</w:t>
      </w:r>
      <w:r w:rsidRPr="00874ECB">
        <w:t>, including parents and</w:t>
      </w:r>
      <w:r w:rsidR="00874ECB" w:rsidRPr="00874ECB">
        <w:t xml:space="preserve"> </w:t>
      </w:r>
      <w:r w:rsidRPr="00874ECB">
        <w:t>carers</w:t>
      </w:r>
    </w:p>
    <w:p w14:paraId="121FDF4F" w14:textId="77777777" w:rsidR="00874ECB" w:rsidRDefault="00874ECB" w:rsidP="00A36474">
      <w:pPr>
        <w:rPr>
          <w:b/>
          <w:bCs/>
          <w:u w:val="single"/>
        </w:rPr>
      </w:pPr>
    </w:p>
    <w:p w14:paraId="136BB8D6" w14:textId="269EAF5A" w:rsidR="00874ECB" w:rsidRPr="00DD3EF3" w:rsidRDefault="00874ECB" w:rsidP="00DD3EF3">
      <w:pPr>
        <w:rPr>
          <w:b/>
          <w:bCs/>
          <w:u w:val="single"/>
        </w:rPr>
      </w:pPr>
      <w:r>
        <w:rPr>
          <w:b/>
          <w:bCs/>
          <w:u w:val="single"/>
        </w:rPr>
        <w:t xml:space="preserve">Implementation of </w:t>
      </w:r>
      <w:r w:rsidR="00DD3EF3" w:rsidRPr="00DD3EF3">
        <w:rPr>
          <w:b/>
          <w:bCs/>
          <w:u w:val="single"/>
        </w:rPr>
        <w:t xml:space="preserve">Careers </w:t>
      </w:r>
      <w:r>
        <w:rPr>
          <w:b/>
          <w:bCs/>
          <w:u w:val="single"/>
        </w:rPr>
        <w:t>Education</w:t>
      </w:r>
    </w:p>
    <w:p w14:paraId="4D576D75" w14:textId="6D743B9F" w:rsidR="00DD3EF3" w:rsidRDefault="00DD3EF3" w:rsidP="00DD3EF3">
      <w:r>
        <w:t>The policy was developed, and is reviewed every year, based on current good practice guidelines outlined by the DFE statutory guidance.</w:t>
      </w:r>
      <w:r w:rsidR="00A36474">
        <w:t xml:space="preserve"> </w:t>
      </w:r>
      <w:r>
        <w:t xml:space="preserve">Careers education is provided to all students and provision is made to </w:t>
      </w:r>
      <w:r w:rsidR="00A36474">
        <w:t xml:space="preserve">ensure all pupils have </w:t>
      </w:r>
      <w:r>
        <w:t xml:space="preserve">access the curriculum. </w:t>
      </w:r>
    </w:p>
    <w:p w14:paraId="4FA5672F" w14:textId="77777777" w:rsidR="00A36474" w:rsidRDefault="00A36474" w:rsidP="00DD3EF3"/>
    <w:p w14:paraId="5BB0F570" w14:textId="3F641298" w:rsidR="00874ECB" w:rsidRDefault="00874ECB" w:rsidP="00DD3EF3">
      <w:r>
        <w:t xml:space="preserve">At Egham Park School, Careers Education is delivered through a variety of ways. </w:t>
      </w:r>
    </w:p>
    <w:p w14:paraId="52D751BF" w14:textId="77777777" w:rsidR="00874ECB" w:rsidRDefault="00874ECB" w:rsidP="00DD3EF3"/>
    <w:p w14:paraId="17D8D636" w14:textId="25FC50B5" w:rsidR="00DD3EF3" w:rsidRDefault="00DD3EF3" w:rsidP="00DD3EF3">
      <w:r>
        <w:t xml:space="preserve">Throughout the curriculum, careers education is delivered through PSHE, SMSC and other subjects such as Science and Humanities, where the focus is on developing attitudes to work, learning about the world of work and thinking about growing up and becoming more independent. </w:t>
      </w:r>
    </w:p>
    <w:p w14:paraId="31FE0357" w14:textId="77777777" w:rsidR="00A36474" w:rsidRDefault="00A36474" w:rsidP="00DD3EF3"/>
    <w:p w14:paraId="7FC1CCF0" w14:textId="17744461" w:rsidR="00A36474" w:rsidRPr="00A36474" w:rsidRDefault="00DD3EF3" w:rsidP="00DD3EF3">
      <w:r>
        <w:t xml:space="preserve">Alongside this, </w:t>
      </w:r>
      <w:r w:rsidR="00A36474">
        <w:t xml:space="preserve">we implement ASDAN’s ‘Placements with Purpose’ programme, which weaves meaningful careers education through the curriculum – building skills, confidence </w:t>
      </w:r>
      <w:r w:rsidR="00A36474">
        <w:lastRenderedPageBreak/>
        <w:t xml:space="preserve">and a clear record of progress. Each year builds upon the previous, enabling pupils to develop a genuine sense of direction. </w:t>
      </w:r>
      <w:r w:rsidR="00A36474" w:rsidRPr="00A36474">
        <w:t>Skills Builder Benchmark tracks essential skill growth over time and ASDAN accredited pro</w:t>
      </w:r>
      <w:r w:rsidR="00A36474">
        <w:t>g</w:t>
      </w:r>
      <w:r w:rsidR="00A36474" w:rsidRPr="00A36474">
        <w:t>rammes and qualifications provide portfolio-based evidence that clearly shows what students</w:t>
      </w:r>
      <w:r w:rsidR="00A36474">
        <w:t xml:space="preserve"> </w:t>
      </w:r>
      <w:r w:rsidR="00A36474" w:rsidRPr="00A36474">
        <w:t>have achi</w:t>
      </w:r>
      <w:r w:rsidR="00A36474">
        <w:t>ev</w:t>
      </w:r>
      <w:r w:rsidR="00A36474" w:rsidRPr="00A36474">
        <w:t>ed and when.</w:t>
      </w:r>
      <w:r w:rsidR="00A36474">
        <w:t xml:space="preserve"> </w:t>
      </w:r>
      <w:r w:rsidR="00A36474" w:rsidRPr="00A36474">
        <w:t xml:space="preserve">Overall, this creates a coherent journey that industry partners, parents and pupils can follow from their first enterprise challenge to their final qualification. </w:t>
      </w:r>
    </w:p>
    <w:p w14:paraId="03DEB50F" w14:textId="77777777" w:rsidR="00A36474" w:rsidRDefault="00A36474" w:rsidP="00DD3EF3">
      <w:pPr>
        <w:rPr>
          <w:b/>
          <w:bCs/>
          <w:u w:val="single"/>
        </w:rPr>
      </w:pPr>
    </w:p>
    <w:p w14:paraId="58D48033" w14:textId="04C01367" w:rsidR="00DD3EF3" w:rsidRPr="00DD3EF3" w:rsidRDefault="00DD3EF3" w:rsidP="00DD3EF3">
      <w:pPr>
        <w:rPr>
          <w:b/>
          <w:bCs/>
          <w:u w:val="single"/>
        </w:rPr>
      </w:pPr>
      <w:r w:rsidRPr="00DD3EF3">
        <w:rPr>
          <w:b/>
          <w:bCs/>
          <w:u w:val="single"/>
        </w:rPr>
        <w:t xml:space="preserve">Careers Education and Guidance </w:t>
      </w:r>
    </w:p>
    <w:p w14:paraId="5586B668" w14:textId="5E352BE4" w:rsidR="00DD3EF3" w:rsidRDefault="00DD3EF3" w:rsidP="00DD3EF3">
      <w:r>
        <w:t>Careers education and guidance (CEG) is an important component of the Curriculum and at Egham Park School we fully support and resource the statutory requirement for a Careers Curriculum across Key Stages 3 and 4. Personalised information, advice and guidance is offered to individual pupils to support them towards independent decision making and a full understanding of the next steps available to them. All pupils are encouraged to follow career paths that align with their interests, skills and strengths with the absence of stereotypes. All students are provided with the same opportunities and diversity is celebrated.</w:t>
      </w:r>
    </w:p>
    <w:p w14:paraId="688D47C6" w14:textId="77777777" w:rsidR="00DD3EF3" w:rsidRDefault="00DD3EF3" w:rsidP="00DD3EF3">
      <w:pPr>
        <w:rPr>
          <w:b/>
          <w:bCs/>
          <w:u w:val="single"/>
        </w:rPr>
      </w:pPr>
    </w:p>
    <w:p w14:paraId="7A1E5BAD" w14:textId="2C342C1E" w:rsidR="00DD3EF3" w:rsidRPr="00DD3EF3" w:rsidRDefault="00DD3EF3" w:rsidP="00DD3EF3">
      <w:pPr>
        <w:rPr>
          <w:b/>
          <w:bCs/>
          <w:u w:val="single"/>
        </w:rPr>
      </w:pPr>
      <w:r w:rsidRPr="00DD3EF3">
        <w:rPr>
          <w:b/>
          <w:bCs/>
          <w:u w:val="single"/>
        </w:rPr>
        <w:t xml:space="preserve">Work Experience </w:t>
      </w:r>
    </w:p>
    <w:p w14:paraId="4E5D7C0B" w14:textId="1B71DC55" w:rsidR="00DD3EF3" w:rsidRDefault="00DD3EF3" w:rsidP="00DD3EF3">
      <w:r>
        <w:t>Work Experience is discussed with pupils and their parents and carers and arranged based on the individual needs of each pupil. Work experience is the responsibility of the Careers Leader.</w:t>
      </w:r>
    </w:p>
    <w:p w14:paraId="736C858A" w14:textId="77777777" w:rsidR="00DD3EF3" w:rsidRDefault="00DD3EF3" w:rsidP="00DD3EF3"/>
    <w:p w14:paraId="7A615A6F" w14:textId="5D2B22AB" w:rsidR="00A36474" w:rsidRPr="00A36474" w:rsidRDefault="00A36474" w:rsidP="00DD3EF3">
      <w:pPr>
        <w:rPr>
          <w:b/>
          <w:bCs/>
          <w:u w:val="single"/>
        </w:rPr>
      </w:pPr>
      <w:r w:rsidRPr="00A36474">
        <w:rPr>
          <w:b/>
          <w:bCs/>
          <w:u w:val="single"/>
        </w:rPr>
        <w:t xml:space="preserve">Responsibilities </w:t>
      </w:r>
    </w:p>
    <w:p w14:paraId="6CDA973B" w14:textId="2DD6AE3D" w:rsidR="00DD3EF3" w:rsidRDefault="00DD3EF3" w:rsidP="00DD3EF3">
      <w:pPr>
        <w:pStyle w:val="ListParagraph"/>
        <w:numPr>
          <w:ilvl w:val="0"/>
          <w:numId w:val="1"/>
        </w:numPr>
      </w:pPr>
      <w:r>
        <w:t>The Careers curriculum is planned, monitored and evaluated by the Careers Leader.</w:t>
      </w:r>
    </w:p>
    <w:p w14:paraId="160EFE21" w14:textId="7741A991" w:rsidR="00DD3EF3" w:rsidRDefault="00DD3EF3" w:rsidP="00DD3EF3">
      <w:pPr>
        <w:pStyle w:val="ListParagraph"/>
        <w:numPr>
          <w:ilvl w:val="0"/>
          <w:numId w:val="1"/>
        </w:numPr>
      </w:pPr>
      <w:r>
        <w:t>The Careers Leader will liaise with outside provision to ensure that specialist career guidance</w:t>
      </w:r>
      <w:r w:rsidR="00A36474">
        <w:t xml:space="preserve"> </w:t>
      </w:r>
      <w:r>
        <w:t>is available when required.</w:t>
      </w:r>
    </w:p>
    <w:p w14:paraId="783F18A3" w14:textId="2E1E9CB7" w:rsidR="00DD3EF3" w:rsidRDefault="00DD3EF3" w:rsidP="00DD3EF3">
      <w:pPr>
        <w:pStyle w:val="ListParagraph"/>
        <w:numPr>
          <w:ilvl w:val="0"/>
          <w:numId w:val="1"/>
        </w:numPr>
      </w:pPr>
      <w:r>
        <w:t>The Careers Leader is responsible for maintaining all Careers resources, support and provision.</w:t>
      </w:r>
    </w:p>
    <w:p w14:paraId="68A473F7" w14:textId="5777135F" w:rsidR="00DD3EF3" w:rsidRDefault="00DD3EF3" w:rsidP="00DD3EF3">
      <w:pPr>
        <w:pStyle w:val="ListParagraph"/>
        <w:numPr>
          <w:ilvl w:val="0"/>
          <w:numId w:val="1"/>
        </w:numPr>
      </w:pPr>
      <w:r>
        <w:t>The programme is reviewed annually by the Careers Leader and the Leadership Team.</w:t>
      </w:r>
    </w:p>
    <w:p w14:paraId="0801BEE0" w14:textId="77777777" w:rsidR="00DD3EF3" w:rsidRDefault="00DD3EF3" w:rsidP="00DD3EF3">
      <w:pPr>
        <w:pStyle w:val="ListParagraph"/>
        <w:numPr>
          <w:ilvl w:val="0"/>
          <w:numId w:val="1"/>
        </w:numPr>
      </w:pPr>
      <w:r>
        <w:t>All staff contribute to CEG through their teaching and support of pupils.</w:t>
      </w:r>
    </w:p>
    <w:p w14:paraId="7170C780" w14:textId="77777777" w:rsidR="00DD3EF3" w:rsidRDefault="00DD3EF3"/>
    <w:sectPr w:rsidR="00DD3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1455"/>
    <w:multiLevelType w:val="hybridMultilevel"/>
    <w:tmpl w:val="DDB2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238A"/>
    <w:multiLevelType w:val="hybridMultilevel"/>
    <w:tmpl w:val="E5F8EF30"/>
    <w:lvl w:ilvl="0" w:tplc="FDC040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F7FB0"/>
    <w:multiLevelType w:val="hybridMultilevel"/>
    <w:tmpl w:val="B956B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949183">
    <w:abstractNumId w:val="0"/>
  </w:num>
  <w:num w:numId="2" w16cid:durableId="1198467152">
    <w:abstractNumId w:val="2"/>
  </w:num>
  <w:num w:numId="3" w16cid:durableId="121130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F3"/>
    <w:rsid w:val="00235375"/>
    <w:rsid w:val="003C7AD0"/>
    <w:rsid w:val="00874ECB"/>
    <w:rsid w:val="00A36474"/>
    <w:rsid w:val="00B80F71"/>
    <w:rsid w:val="00DD3EF3"/>
    <w:rsid w:val="00F1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08D8"/>
  <w15:chartTrackingRefBased/>
  <w15:docId w15:val="{A78D3FEE-0566-4F16-8376-54A13B2C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EF3"/>
  </w:style>
  <w:style w:type="paragraph" w:styleId="Heading1">
    <w:name w:val="heading 1"/>
    <w:basedOn w:val="Normal"/>
    <w:next w:val="Normal"/>
    <w:link w:val="Heading1Char"/>
    <w:uiPriority w:val="9"/>
    <w:qFormat/>
    <w:rsid w:val="00DD3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E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E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E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E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E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E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EF3"/>
    <w:rPr>
      <w:rFonts w:eastAsiaTheme="majorEastAsia" w:cstheme="majorBidi"/>
      <w:color w:val="272727" w:themeColor="text1" w:themeTint="D8"/>
    </w:rPr>
  </w:style>
  <w:style w:type="paragraph" w:styleId="Title">
    <w:name w:val="Title"/>
    <w:basedOn w:val="Normal"/>
    <w:next w:val="Normal"/>
    <w:link w:val="TitleChar"/>
    <w:uiPriority w:val="10"/>
    <w:qFormat/>
    <w:rsid w:val="00DD3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EF3"/>
    <w:pPr>
      <w:spacing w:before="160"/>
      <w:jc w:val="center"/>
    </w:pPr>
    <w:rPr>
      <w:i/>
      <w:iCs/>
      <w:color w:val="404040" w:themeColor="text1" w:themeTint="BF"/>
    </w:rPr>
  </w:style>
  <w:style w:type="character" w:customStyle="1" w:styleId="QuoteChar">
    <w:name w:val="Quote Char"/>
    <w:basedOn w:val="DefaultParagraphFont"/>
    <w:link w:val="Quote"/>
    <w:uiPriority w:val="29"/>
    <w:rsid w:val="00DD3EF3"/>
    <w:rPr>
      <w:i/>
      <w:iCs/>
      <w:color w:val="404040" w:themeColor="text1" w:themeTint="BF"/>
    </w:rPr>
  </w:style>
  <w:style w:type="paragraph" w:styleId="ListParagraph">
    <w:name w:val="List Paragraph"/>
    <w:basedOn w:val="Normal"/>
    <w:uiPriority w:val="34"/>
    <w:qFormat/>
    <w:rsid w:val="00DD3EF3"/>
    <w:pPr>
      <w:ind w:left="720"/>
      <w:contextualSpacing/>
    </w:pPr>
  </w:style>
  <w:style w:type="character" w:styleId="IntenseEmphasis">
    <w:name w:val="Intense Emphasis"/>
    <w:basedOn w:val="DefaultParagraphFont"/>
    <w:uiPriority w:val="21"/>
    <w:qFormat/>
    <w:rsid w:val="00DD3EF3"/>
    <w:rPr>
      <w:i/>
      <w:iCs/>
      <w:color w:val="2F5496" w:themeColor="accent1" w:themeShade="BF"/>
    </w:rPr>
  </w:style>
  <w:style w:type="paragraph" w:styleId="IntenseQuote">
    <w:name w:val="Intense Quote"/>
    <w:basedOn w:val="Normal"/>
    <w:next w:val="Normal"/>
    <w:link w:val="IntenseQuoteChar"/>
    <w:uiPriority w:val="30"/>
    <w:qFormat/>
    <w:rsid w:val="00DD3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EF3"/>
    <w:rPr>
      <w:i/>
      <w:iCs/>
      <w:color w:val="2F5496" w:themeColor="accent1" w:themeShade="BF"/>
    </w:rPr>
  </w:style>
  <w:style w:type="character" w:styleId="IntenseReference">
    <w:name w:val="Intense Reference"/>
    <w:basedOn w:val="DefaultParagraphFont"/>
    <w:uiPriority w:val="32"/>
    <w:qFormat/>
    <w:rsid w:val="00DD3EF3"/>
    <w:rPr>
      <w:b/>
      <w:bCs/>
      <w:smallCaps/>
      <w:color w:val="2F5496" w:themeColor="accent1" w:themeShade="BF"/>
      <w:spacing w:val="5"/>
    </w:rPr>
  </w:style>
  <w:style w:type="paragraph" w:customStyle="1" w:styleId="Default">
    <w:name w:val="Default"/>
    <w:rsid w:val="00235375"/>
    <w:pPr>
      <w:autoSpaceDE w:val="0"/>
      <w:autoSpaceDN w:val="0"/>
      <w:adjustRightInd w:val="0"/>
      <w:spacing w:after="0" w:line="240" w:lineRule="auto"/>
    </w:pPr>
    <w:rPr>
      <w:rFonts w:ascii="Arial" w:eastAsia="Times New Roman" w:hAnsi="Arial" w:cs="Arial"/>
      <w:color w:val="000000"/>
      <w:kern w:val="0"/>
      <w:lang w:val="en-US"/>
      <w14:ligatures w14:val="none"/>
    </w:rPr>
  </w:style>
  <w:style w:type="table" w:styleId="TableGrid">
    <w:name w:val="Table Grid"/>
    <w:basedOn w:val="TableNormal"/>
    <w:uiPriority w:val="39"/>
    <w:rsid w:val="002353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Stonell</dc:creator>
  <cp:keywords/>
  <dc:description/>
  <cp:lastModifiedBy>Amardeep Panesar</cp:lastModifiedBy>
  <cp:revision>2</cp:revision>
  <dcterms:created xsi:type="dcterms:W3CDTF">2026-06-04T13:09:00Z</dcterms:created>
  <dcterms:modified xsi:type="dcterms:W3CDTF">2026-06-04T13:09:00Z</dcterms:modified>
</cp:coreProperties>
</file>